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534BA" w14:textId="77777777" w:rsidR="00F432E8" w:rsidRDefault="00F432E8" w:rsidP="00F432E8">
      <w:pPr>
        <w:jc w:val="center"/>
        <w:rPr>
          <w:lang w:val="en-US"/>
        </w:rPr>
      </w:pPr>
      <w:bookmarkStart w:id="0" w:name="_GoBack"/>
      <w:bookmarkEnd w:id="0"/>
    </w:p>
    <w:p w14:paraId="67424F33" w14:textId="77777777" w:rsidR="00F432E8" w:rsidRDefault="00F432E8" w:rsidP="00F432E8">
      <w:pPr>
        <w:jc w:val="center"/>
        <w:rPr>
          <w:lang w:val="en-US"/>
        </w:rPr>
      </w:pPr>
    </w:p>
    <w:p w14:paraId="79667DFC" w14:textId="77777777" w:rsidR="00F432E8" w:rsidRDefault="00F432E8" w:rsidP="00F432E8">
      <w:pPr>
        <w:jc w:val="center"/>
        <w:rPr>
          <w:lang w:val="en-US"/>
        </w:rPr>
      </w:pPr>
    </w:p>
    <w:p w14:paraId="411D383A" w14:textId="77777777" w:rsidR="00F432E8" w:rsidRDefault="00F432E8" w:rsidP="00F432E8">
      <w:pPr>
        <w:jc w:val="center"/>
        <w:rPr>
          <w:lang w:val="en-US"/>
        </w:rPr>
      </w:pPr>
    </w:p>
    <w:p w14:paraId="1CF06B87" w14:textId="77777777" w:rsidR="00F432E8" w:rsidRDefault="00F432E8" w:rsidP="00F432E8">
      <w:pPr>
        <w:jc w:val="center"/>
        <w:rPr>
          <w:lang w:val="en-US"/>
        </w:rPr>
      </w:pPr>
    </w:p>
    <w:p w14:paraId="69A950E5" w14:textId="77777777" w:rsidR="00F432E8" w:rsidRDefault="00F432E8" w:rsidP="00F432E8">
      <w:pPr>
        <w:jc w:val="center"/>
        <w:rPr>
          <w:lang w:val="en-US"/>
        </w:rPr>
      </w:pPr>
    </w:p>
    <w:p w14:paraId="2586460F" w14:textId="77777777" w:rsidR="00F432E8" w:rsidRDefault="00F432E8" w:rsidP="00F432E8">
      <w:pPr>
        <w:jc w:val="center"/>
        <w:rPr>
          <w:lang w:val="en-US"/>
        </w:rPr>
      </w:pPr>
    </w:p>
    <w:p w14:paraId="7AA7EA20" w14:textId="77777777" w:rsidR="00F432E8" w:rsidRDefault="00F432E8" w:rsidP="00F432E8">
      <w:pPr>
        <w:jc w:val="center"/>
        <w:rPr>
          <w:lang w:val="en-US"/>
        </w:rPr>
      </w:pPr>
    </w:p>
    <w:p w14:paraId="72357A8D" w14:textId="77777777" w:rsidR="00F432E8" w:rsidRDefault="00F432E8" w:rsidP="00F432E8">
      <w:pPr>
        <w:jc w:val="center"/>
        <w:rPr>
          <w:lang w:val="en-US"/>
        </w:rPr>
      </w:pPr>
    </w:p>
    <w:p w14:paraId="31E5AC09" w14:textId="77777777" w:rsidR="00F432E8" w:rsidRDefault="00F432E8" w:rsidP="00F432E8">
      <w:pPr>
        <w:jc w:val="center"/>
        <w:rPr>
          <w:lang w:val="en-US"/>
        </w:rPr>
      </w:pPr>
    </w:p>
    <w:p w14:paraId="1BD3BA14" w14:textId="77777777" w:rsidR="00F432E8" w:rsidRDefault="00F432E8" w:rsidP="00F432E8">
      <w:pPr>
        <w:jc w:val="center"/>
        <w:rPr>
          <w:lang w:val="en-US"/>
        </w:rPr>
      </w:pPr>
    </w:p>
    <w:p w14:paraId="37B7B214" w14:textId="77777777" w:rsidR="00F432E8" w:rsidRDefault="00F432E8" w:rsidP="00F432E8">
      <w:pPr>
        <w:jc w:val="center"/>
        <w:rPr>
          <w:lang w:val="en-US"/>
        </w:rPr>
      </w:pPr>
    </w:p>
    <w:p w14:paraId="75431943" w14:textId="77777777" w:rsidR="00F432E8" w:rsidRDefault="00F432E8" w:rsidP="00F432E8">
      <w:pPr>
        <w:jc w:val="center"/>
        <w:rPr>
          <w:lang w:val="en-US"/>
        </w:rPr>
      </w:pPr>
    </w:p>
    <w:p w14:paraId="1FE94BA1" w14:textId="77777777" w:rsidR="00F432E8" w:rsidRDefault="00F432E8" w:rsidP="00F432E8">
      <w:pPr>
        <w:jc w:val="center"/>
        <w:rPr>
          <w:lang w:val="en-US"/>
        </w:rPr>
      </w:pPr>
    </w:p>
    <w:p w14:paraId="46024148" w14:textId="2A2D1E1F" w:rsidR="001052D5" w:rsidRDefault="00F86DFA" w:rsidP="00F432E8">
      <w:pPr>
        <w:jc w:val="center"/>
        <w:rPr>
          <w:lang w:val="en-US"/>
        </w:rPr>
      </w:pPr>
      <w:r w:rsidRPr="001052D5">
        <w:rPr>
          <w:lang w:val="en-US"/>
        </w:rPr>
        <w:t xml:space="preserve">The </w:t>
      </w:r>
      <w:r w:rsidR="00F432E8" w:rsidRPr="001052D5">
        <w:rPr>
          <w:lang w:val="en-US"/>
        </w:rPr>
        <w:t xml:space="preserve">Federal Bureau </w:t>
      </w:r>
      <w:r w:rsidR="00F432E8">
        <w:rPr>
          <w:lang w:val="en-US"/>
        </w:rPr>
        <w:t>o</w:t>
      </w:r>
      <w:r w:rsidR="00F432E8" w:rsidRPr="001052D5">
        <w:rPr>
          <w:lang w:val="en-US"/>
        </w:rPr>
        <w:t xml:space="preserve">f Investigations </w:t>
      </w:r>
      <w:r w:rsidRPr="001052D5">
        <w:rPr>
          <w:lang w:val="en-US"/>
        </w:rPr>
        <w:t>(FBI)</w:t>
      </w:r>
    </w:p>
    <w:p w14:paraId="4CF65350" w14:textId="215D93C6" w:rsidR="00F432E8" w:rsidRDefault="00F86DFA" w:rsidP="00F432E8">
      <w:pPr>
        <w:jc w:val="center"/>
        <w:rPr>
          <w:lang w:val="en-US"/>
        </w:rPr>
      </w:pPr>
      <w:r>
        <w:rPr>
          <w:lang w:val="en-US"/>
        </w:rPr>
        <w:t>Name</w:t>
      </w:r>
    </w:p>
    <w:p w14:paraId="04BDC1DA" w14:textId="54071416" w:rsidR="00F432E8" w:rsidRDefault="00F86DFA" w:rsidP="00F432E8">
      <w:pPr>
        <w:jc w:val="center"/>
        <w:rPr>
          <w:lang w:val="en-US"/>
        </w:rPr>
      </w:pPr>
      <w:r>
        <w:rPr>
          <w:lang w:val="en-US"/>
        </w:rPr>
        <w:t>Institution</w:t>
      </w:r>
    </w:p>
    <w:p w14:paraId="2E9A7D77" w14:textId="77CC002A" w:rsidR="00F432E8" w:rsidRDefault="00F432E8" w:rsidP="00F432E8">
      <w:pPr>
        <w:jc w:val="center"/>
        <w:rPr>
          <w:lang w:val="en-US"/>
        </w:rPr>
      </w:pPr>
    </w:p>
    <w:p w14:paraId="682F4577" w14:textId="7888C9F5" w:rsidR="00F432E8" w:rsidRDefault="00F432E8" w:rsidP="00F432E8">
      <w:pPr>
        <w:jc w:val="center"/>
        <w:rPr>
          <w:lang w:val="en-US"/>
        </w:rPr>
      </w:pPr>
    </w:p>
    <w:p w14:paraId="32B8B324" w14:textId="72BD3EB9" w:rsidR="00F432E8" w:rsidRDefault="00F432E8" w:rsidP="00F432E8">
      <w:pPr>
        <w:jc w:val="center"/>
        <w:rPr>
          <w:lang w:val="en-US"/>
        </w:rPr>
      </w:pPr>
    </w:p>
    <w:p w14:paraId="611C2675" w14:textId="0FFC3C09" w:rsidR="00F432E8" w:rsidRDefault="00F432E8" w:rsidP="00F432E8">
      <w:pPr>
        <w:jc w:val="center"/>
        <w:rPr>
          <w:lang w:val="en-US"/>
        </w:rPr>
      </w:pPr>
    </w:p>
    <w:p w14:paraId="5A97DD77" w14:textId="0F1800EA" w:rsidR="00F432E8" w:rsidRDefault="00F432E8" w:rsidP="00F432E8">
      <w:pPr>
        <w:jc w:val="center"/>
        <w:rPr>
          <w:lang w:val="en-US"/>
        </w:rPr>
      </w:pPr>
    </w:p>
    <w:p w14:paraId="26E7CCF4" w14:textId="25AE6C1B" w:rsidR="00F432E8" w:rsidRDefault="00F432E8" w:rsidP="00F432E8">
      <w:pPr>
        <w:jc w:val="center"/>
        <w:rPr>
          <w:lang w:val="en-US"/>
        </w:rPr>
      </w:pPr>
    </w:p>
    <w:p w14:paraId="2F761BE1" w14:textId="611858EF" w:rsidR="00F432E8" w:rsidRDefault="00F432E8" w:rsidP="00F432E8">
      <w:pPr>
        <w:jc w:val="center"/>
        <w:rPr>
          <w:lang w:val="en-US"/>
        </w:rPr>
      </w:pPr>
    </w:p>
    <w:p w14:paraId="7E18ACA0" w14:textId="13A3743B" w:rsidR="00F432E8" w:rsidRDefault="00F432E8" w:rsidP="00F432E8">
      <w:pPr>
        <w:jc w:val="center"/>
        <w:rPr>
          <w:lang w:val="en-US"/>
        </w:rPr>
      </w:pPr>
    </w:p>
    <w:p w14:paraId="00AEC9E3" w14:textId="4C83C3C2" w:rsidR="00F432E8" w:rsidRDefault="00F432E8" w:rsidP="00F432E8">
      <w:pPr>
        <w:jc w:val="center"/>
        <w:rPr>
          <w:lang w:val="en-US"/>
        </w:rPr>
      </w:pPr>
    </w:p>
    <w:p w14:paraId="75F9CF74" w14:textId="0B98829D" w:rsidR="00F432E8" w:rsidRDefault="00F432E8" w:rsidP="00F432E8">
      <w:pPr>
        <w:jc w:val="center"/>
        <w:rPr>
          <w:lang w:val="en-US"/>
        </w:rPr>
      </w:pPr>
    </w:p>
    <w:p w14:paraId="74D7830B" w14:textId="0ACB3E2D" w:rsidR="00F432E8" w:rsidRDefault="00F432E8" w:rsidP="00F432E8">
      <w:pPr>
        <w:jc w:val="center"/>
        <w:rPr>
          <w:lang w:val="en-US"/>
        </w:rPr>
      </w:pPr>
    </w:p>
    <w:p w14:paraId="321CFD85" w14:textId="1D36A17F" w:rsidR="00F432E8" w:rsidRDefault="00F432E8" w:rsidP="00F432E8">
      <w:pPr>
        <w:jc w:val="center"/>
        <w:rPr>
          <w:lang w:val="en-US"/>
        </w:rPr>
      </w:pPr>
    </w:p>
    <w:p w14:paraId="53DE583B" w14:textId="3FF1E767" w:rsidR="00F432E8" w:rsidRDefault="00F432E8" w:rsidP="00F432E8">
      <w:pPr>
        <w:jc w:val="center"/>
        <w:rPr>
          <w:lang w:val="en-US"/>
        </w:rPr>
      </w:pPr>
    </w:p>
    <w:p w14:paraId="3E473F32" w14:textId="05FE16C2" w:rsidR="00EA2844" w:rsidRDefault="00EA2844" w:rsidP="00F432E8">
      <w:pPr>
        <w:jc w:val="center"/>
        <w:rPr>
          <w:lang w:val="en-US"/>
        </w:rPr>
      </w:pPr>
      <w:r>
        <w:rPr>
          <w:lang w:val="en-US"/>
        </w:rPr>
        <w:lastRenderedPageBreak/>
        <w:t>Crime labs</w:t>
      </w:r>
    </w:p>
    <w:p w14:paraId="3AC300BF" w14:textId="13172E29" w:rsidR="00EA2844" w:rsidRPr="00EA2844" w:rsidRDefault="00EA2844" w:rsidP="00EA2844">
      <w:pPr>
        <w:spacing w:line="480" w:lineRule="auto"/>
        <w:ind w:firstLine="720"/>
        <w:rPr>
          <w:lang w:val="en-US"/>
        </w:rPr>
      </w:pPr>
      <w:r w:rsidRPr="00EA2844">
        <w:rPr>
          <w:lang w:val="en-US"/>
        </w:rPr>
        <w:t>Crime management requires integration of different factors which help achieve a strong understanding of important changes which define improved outcomes. Crime management involves investigations which are conducted to understand crime, the process, and critical aspects which can help in determining improved crime management. Crime labs are essential in testing the evidence provided in assuming the identity of the suspect in a given crime</w:t>
      </w:r>
      <w:r>
        <w:rPr>
          <w:lang w:val="en-US"/>
        </w:rPr>
        <w:t xml:space="preserve"> </w:t>
      </w:r>
      <w:r>
        <w:rPr>
          <w:lang w:val="en-US"/>
        </w:rPr>
        <w:fldChar w:fldCharType="begin" w:fldLock="1"/>
      </w:r>
      <w:r>
        <w:rPr>
          <w:lang w:val="en-US"/>
        </w:rPr>
        <w:instrText>ADDIN CSL_CITATION {"citationItems":[{"id":"ITEM-1","itemData":{"DOI":"10.1520/jfs10430j","ISSN":"00221198","abstract":"Written by a very well-known authority in forensic science, this book introduces the non-scientific reader to the field of forensic science. Through applications to criminal investigations, clear explanations of the techniques, and the abilities and limitations of modern crime labs, Criminalistics covers the comprehensive realm of forensics. The book strives to make the technology of the modern crime laboratory clear to the non-scientist. Combining case stories with applicable technology, Criminalistics captures the excitement of forensic science investigations. Familiarizes readers with the most current technologies in forensic analysis. KEY Aims at making the subject of forensic science comprehensible to a wide variety of readers who are planning on being aligned with the forensic science profession.","author":[{"dropping-particle":"","family":"Thornton","given":"J. I.","non-dropping-particle":"","parse-names":false,"suffix":""}],"container-title":"Journal of Forensic Sciences","id":"ITEM-1","issued":{"date-parts":[["2015"]]},"title":" A Review of Criminalistics: An Introduction to Forensic Science ","type":"article-journal"},"uris":["http://www.mendeley.com/documents/?uuid=65764738-9a6a-437d-88cc-2cef8d511feb","http://www.mendeley.com/documents/?uuid=f6b176b9-3a56-4728-be6a-d1c0a63a9174"]}],"mendeley":{"formattedCitation":"(Thornton, 2015)","plainTextFormattedCitation":"(Thornton, 2015)","previouslyFormattedCitation":"(Thornton, 2015)"},"properties":{"noteIndex":0},"schema":"https://github.com/citation-style-language/schema/raw/master/csl-citation.json"}</w:instrText>
      </w:r>
      <w:r>
        <w:rPr>
          <w:lang w:val="en-US"/>
        </w:rPr>
        <w:fldChar w:fldCharType="separate"/>
      </w:r>
      <w:r w:rsidRPr="00EA2844">
        <w:rPr>
          <w:noProof/>
          <w:lang w:val="en-US"/>
        </w:rPr>
        <w:t>(Thornton, 2015)</w:t>
      </w:r>
      <w:r>
        <w:rPr>
          <w:lang w:val="en-US"/>
        </w:rPr>
        <w:fldChar w:fldCharType="end"/>
      </w:r>
      <w:r w:rsidRPr="00EA2844">
        <w:rPr>
          <w:lang w:val="en-US"/>
        </w:rPr>
        <w:t>. The crime labs assess forensic evidence that is supplied from crime scenes. The crime labs can investigate physical, biological or chemical. Specialists are engaged and focus on creating a profoundly transformed setting where it is possible to manage any occurrences within criminal justice. Most of the crime labs are publicly funded and controlled by federal, state or local governments.</w:t>
      </w:r>
    </w:p>
    <w:p w14:paraId="660079D3" w14:textId="7B1D944D" w:rsidR="00EA2844" w:rsidRPr="00EA2844" w:rsidRDefault="00EA2844" w:rsidP="00EA2844">
      <w:pPr>
        <w:spacing w:line="480" w:lineRule="auto"/>
        <w:ind w:firstLine="720"/>
        <w:rPr>
          <w:lang w:val="en-US"/>
        </w:rPr>
      </w:pPr>
      <w:r w:rsidRPr="00EA2844">
        <w:rPr>
          <w:lang w:val="en-US"/>
        </w:rPr>
        <w:t>The purpose of the crime labs is to adequately understand significant changes which provide a reliable evaluation of the need to ensure that the evidence presented does not lead to wrongful conviction. Thus the to control wrongful conviction was one of the critical objectives for implementation of crime labs. Wrongful convictions have been significant within the criminal justice system. Wrongful convictions occur when an individual is found guilty for a crime they did not commit. The overall understanding of wrongful convictions provides a reliable evaluation of essential measures which help in outlining better emphasis on the underlying issues within the criminal justice</w:t>
      </w:r>
      <w:r>
        <w:rPr>
          <w:lang w:val="en-US"/>
        </w:rPr>
        <w:t xml:space="preserve"> </w:t>
      </w:r>
      <w:r>
        <w:rPr>
          <w:lang w:val="en-US"/>
        </w:rPr>
        <w:fldChar w:fldCharType="begin" w:fldLock="1"/>
      </w:r>
      <w:r>
        <w:rPr>
          <w:lang w:val="en-US"/>
        </w:rPr>
        <w:instrText>ADDIN CSL_CITATION {"citationItems":[{"id":"ITEM-1","itemData":{"ISSN":"00914169","abstract":"This Article emphasizes that forensic flaws persist and that deficiencies in forensic science have harrowing implications for criminal justice. In the wake of numerous calls for forensic reform, I propose that we use existing models and frameworks already in place to improve the quality and cost of the U.S. forensic science program, rather than creating an entirely new and unaffordable system. At bottom, this Article calls for collaboration between crime labs, universities and research centers, and the criminal justice system with the goal of making forensic science more reliable. TABLE","author":[{"dropping-particle":"","family":"Gabel","given":"Jessica","non-dropping-particle":"","parse-names":false,"suffix":""}],"container-title":"Journal of Criminal Law and Criminology","id":"ITEM-1","issued":{"date-parts":[["2014"]]},"title":"Realizing reliability in forensic science from the ground up","type":"article-journal"},"uris":["http://www.mendeley.com/documents/?uuid=50e9076a-eb97-41b8-b5a7-05fe8a929172","http://www.mendeley.com/documents/?uuid=fbaa02f9-270b-41e9-950b-9eb3a9937639"]}],"mendeley":{"formattedCitation":"(Gabel, 2014)","plainTextFormattedCitation":"(Gabel, 2014)","previouslyFormattedCitation":"(Gabel, 2014)"},"properties":{"noteIndex":0},"schema":"https://github.com/citation-style-language/schema/raw/master/csl-citation.json"}</w:instrText>
      </w:r>
      <w:r>
        <w:rPr>
          <w:lang w:val="en-US"/>
        </w:rPr>
        <w:fldChar w:fldCharType="separate"/>
      </w:r>
      <w:r w:rsidRPr="00EA2844">
        <w:rPr>
          <w:noProof/>
          <w:lang w:val="en-US"/>
        </w:rPr>
        <w:t>(Gabel, 2014)</w:t>
      </w:r>
      <w:r>
        <w:rPr>
          <w:lang w:val="en-US"/>
        </w:rPr>
        <w:fldChar w:fldCharType="end"/>
      </w:r>
      <w:r w:rsidRPr="00EA2844">
        <w:rPr>
          <w:lang w:val="en-US"/>
        </w:rPr>
        <w:t>.</w:t>
      </w:r>
    </w:p>
    <w:p w14:paraId="3B4E76B5" w14:textId="6CB54918" w:rsidR="00EA2844" w:rsidRPr="00EA2844" w:rsidRDefault="00EA2844" w:rsidP="00EA2844">
      <w:pPr>
        <w:spacing w:line="480" w:lineRule="auto"/>
        <w:ind w:firstLine="720"/>
        <w:rPr>
          <w:lang w:val="en-US"/>
        </w:rPr>
      </w:pPr>
      <w:r w:rsidRPr="00EA2844">
        <w:rPr>
          <w:lang w:val="en-US"/>
        </w:rPr>
        <w:t>Crime labs were developed to evaluated evidence credibility which is a crucial aspect in maintaining a strong focus on critical changes which help maintain focus on true information regarding a given criminal activity that is being evaluated. Forensic scientists play a necessary role in corroborating evidence and are allowed to testify in court based on the findings. In situations where forensic scientists fail to capture a crucial aspect of the evidence, it could lead to wrongful conviction</w:t>
      </w:r>
      <w:r>
        <w:rPr>
          <w:lang w:val="en-US"/>
        </w:rPr>
        <w:t xml:space="preserve"> </w:t>
      </w:r>
      <w:r>
        <w:rPr>
          <w:lang w:val="en-US"/>
        </w:rPr>
        <w:fldChar w:fldCharType="begin" w:fldLock="1"/>
      </w:r>
      <w:r>
        <w:rPr>
          <w:lang w:val="en-US"/>
        </w:rPr>
        <w:instrText>ADDIN CSL_CITATION {"citationItems":[{"id":"ITEM-1","itemData":{"DOI":"10.1016/C2011-0-06748-0","ISBN":"9780123945853","ISSN":"1876-7591","PMID":"22340821","abstract":"DNA typing has revolutionized criminal investigations and has become a powerful tool in the identification of individuals in criminal and paternity cases. Forensic DNA Biology: A Laboratory Manual is comprised of up-to-date and practical experiments and step-by-step instructions on how to perform DNA analysis, including pipetting, microscopy and hair analysis, presumptive testing of body fluids and human DNA typing. Modern DNA typing techniques are provided, reflecting real life, where not all institutions and crime labs can afford the same equipment and software. Real case studies will be used throughout and the author will provide an Instructor Manual and PowerPoint lecture slides. * Provides practical step-by-step instruction on how to perform forensic DNA analysis * Includes analysis of hair, presumptive testing of body fluids, human DNA typing and statistics * Covers techniques such as pipetting, microscopy and DNA extraction * Pre-and post-lab exercises and questions assist the reader in learning the material * Report writing templates assure the reader learns real world crime lab procedure. © 2013 Elsevier Inc. All rights reserved.","author":[{"dropping-particle":"","family":"Elkins","given":"Kelly","non-dropping-particle":"","parse-names":false,"suffix":""}],"container-title":"Forensic DNA Biology","id":"ITEM-1","issued":{"date-parts":[["2013"]]},"title":"Forensic DNA Biology","type":"book"},"uris":["http://www.mendeley.com/documents/?uuid=c42d3d94-90f2-4d6b-a6ed-36e646d40344","http://www.mendeley.com/documents/?uuid=3bb22b16-a3af-4ded-94d2-71212a995eba"]}],"mendeley":{"formattedCitation":"(Elkins, 2013)","plainTextFormattedCitation":"(Elkins, 2013)","previouslyFormattedCitation":"(Elkins, 2013)"},"properties":{"noteIndex":0},"schema":"https://github.com/citation-style-language/schema/raw/master/csl-citation.json"}</w:instrText>
      </w:r>
      <w:r>
        <w:rPr>
          <w:lang w:val="en-US"/>
        </w:rPr>
        <w:fldChar w:fldCharType="separate"/>
      </w:r>
      <w:r w:rsidRPr="00EA2844">
        <w:rPr>
          <w:noProof/>
          <w:lang w:val="en-US"/>
        </w:rPr>
        <w:t>(Elkins, 2013)</w:t>
      </w:r>
      <w:r>
        <w:rPr>
          <w:lang w:val="en-US"/>
        </w:rPr>
        <w:fldChar w:fldCharType="end"/>
      </w:r>
      <w:r w:rsidRPr="00EA2844">
        <w:rPr>
          <w:lang w:val="en-US"/>
        </w:rPr>
        <w:t xml:space="preserve">. </w:t>
      </w:r>
    </w:p>
    <w:p w14:paraId="7FBBC6DF" w14:textId="6270D185" w:rsidR="00EA2844" w:rsidRDefault="00EA2844" w:rsidP="00EA2844">
      <w:pPr>
        <w:spacing w:line="480" w:lineRule="auto"/>
        <w:ind w:firstLine="720"/>
        <w:rPr>
          <w:lang w:val="en-US"/>
        </w:rPr>
      </w:pPr>
      <w:r w:rsidRPr="00EA2844">
        <w:rPr>
          <w:lang w:val="en-US"/>
        </w:rPr>
        <w:lastRenderedPageBreak/>
        <w:t>Without challenges that come up with evidence, the crime labs would not be present since they are mainly aimed at providing a robust evaluation on essential information which helps in determining improved outcomes regarding the validity of information that is obtained within the trial process. The evidence is crucial in determining whether a suspect is guilty or innocent, the information that is provided help in understanding essential concepts which help in determining the better analysis of evidence. Ensuring that there is information that supports a given course is critical for improving proof of a crime</w:t>
      </w:r>
      <w:r>
        <w:rPr>
          <w:lang w:val="en-US"/>
        </w:rPr>
        <w:t xml:space="preserve"> </w:t>
      </w:r>
      <w:r>
        <w:rPr>
          <w:lang w:val="en-US"/>
        </w:rPr>
        <w:fldChar w:fldCharType="begin" w:fldLock="1"/>
      </w:r>
      <w:r>
        <w:rPr>
          <w:lang w:val="en-US"/>
        </w:rPr>
        <w:instrText>ADDIN CSL_CITATION {"citationItems":[{"id":"ITEM-1","itemData":{"ISSN":"00914169","abstract":"This Article emphasizes that forensic flaws persist and that deficiencies in forensic science have harrowing implications for criminal justice. In the wake of numerous calls for forensic reform, I propose that we use existing models and frameworks already in place to improve the quality and cost of the U.S. forensic science program, rather than creating an entirely new and unaffordable system. At bottom, this Article calls for collaboration between crime labs, universities and research centers, and the criminal justice system with the goal of making forensic science more reliable. TABLE","author":[{"dropping-particle":"","family":"Gabel","given":"Jessica","non-dropping-particle":"","parse-names":false,"suffix":""}],"container-title":"Journal of Criminal Law and Criminology","id":"ITEM-1","issued":{"date-parts":[["2014"]]},"title":"Realizing reliability in forensic science from the ground up","type":"article-journal"},"uris":["http://www.mendeley.com/documents/?uuid=fbaa02f9-270b-41e9-950b-9eb3a9937639"]}],"mendeley":{"formattedCitation":"(Gabel, 2014)","plainTextFormattedCitation":"(Gabel, 2014)"},"properties":{"noteIndex":0},"schema":"https://github.com/citation-style-language/schema/raw/master/csl-citation.json"}</w:instrText>
      </w:r>
      <w:r>
        <w:rPr>
          <w:lang w:val="en-US"/>
        </w:rPr>
        <w:fldChar w:fldCharType="separate"/>
      </w:r>
      <w:r w:rsidRPr="00EA2844">
        <w:rPr>
          <w:noProof/>
          <w:lang w:val="en-US"/>
        </w:rPr>
        <w:t>(Gabel, 2014)</w:t>
      </w:r>
      <w:r>
        <w:rPr>
          <w:lang w:val="en-US"/>
        </w:rPr>
        <w:fldChar w:fldCharType="end"/>
      </w:r>
      <w:r w:rsidRPr="00EA2844">
        <w:rPr>
          <w:lang w:val="en-US"/>
        </w:rPr>
        <w:t>.</w:t>
      </w:r>
    </w:p>
    <w:p w14:paraId="63BE6ABD" w14:textId="13AF27AF" w:rsidR="003E72A8" w:rsidRDefault="00F86DFA" w:rsidP="003E72A8">
      <w:pPr>
        <w:jc w:val="center"/>
        <w:rPr>
          <w:lang w:val="en-US"/>
        </w:rPr>
      </w:pPr>
      <w:r w:rsidRPr="003E72A8">
        <w:rPr>
          <w:lang w:val="en-US"/>
        </w:rPr>
        <w:t>The Federal Bureau Of Investigations (FBI)</w:t>
      </w:r>
    </w:p>
    <w:p w14:paraId="0CA8A39F" w14:textId="67FCAE7A" w:rsidR="003814C1" w:rsidRDefault="00F86DFA" w:rsidP="003E72A8">
      <w:pPr>
        <w:spacing w:line="480" w:lineRule="auto"/>
        <w:ind w:firstLine="720"/>
        <w:rPr>
          <w:lang w:val="en-US"/>
        </w:rPr>
      </w:pPr>
      <w:r>
        <w:rPr>
          <w:lang w:val="en-US"/>
        </w:rPr>
        <w:t xml:space="preserve"> </w:t>
      </w:r>
      <w:r w:rsidRPr="003814C1">
        <w:rPr>
          <w:lang w:val="en-US"/>
        </w:rPr>
        <w:t>The federal Bureau of investigations (FBI)</w:t>
      </w:r>
      <w:r>
        <w:rPr>
          <w:lang w:val="en-US"/>
        </w:rPr>
        <w:t xml:space="preserve"> is the main federal law enforcement agency in the United States providing domestic intelligence and security. The FBI operates under the department of justice which is aimed at ensuring there is a better focus on law across the United States. It is also a member of the United States intelligence community which is involved in collecting and surveillance of intelligence information. The FBI is headed by the FBI director who reports to the Attorney General and the director of the National Intelligence. The  FBI provides services across all states in matters including criminal investigations, counter-terrorism, and counterintelligence</w:t>
      </w:r>
      <w:r w:rsidR="00F432E8">
        <w:rPr>
          <w:lang w:val="en-US"/>
        </w:rPr>
        <w:t xml:space="preserve"> </w:t>
      </w:r>
      <w:r w:rsidR="00F432E8">
        <w:rPr>
          <w:lang w:val="en-US"/>
        </w:rPr>
        <w:fldChar w:fldCharType="begin" w:fldLock="1"/>
      </w:r>
      <w:r w:rsidR="00F432E8">
        <w:rPr>
          <w:lang w:val="en-US"/>
        </w:rPr>
        <w:instrText>ADDIN CSL_CITATION {"citationItems":[{"id":"ITEM-1","itemData":{"DOI":"10.1002/ejoc.201200111","ISBN":"9789231000850","ISSN":"1553-4650","PMID":"25165130","abstract":"As an intelligence-driven and a threat-focused national security organization with both intelligence and law enforcement responsibilities, the mission of the Federal Bureau of Investigation (FBI) is to protect and defend the United States against terrorist and foreign intelligence threats, to uphold and enforce the criminal laws of the United States, and to provide leadership and criminal justice services to federal, state, municipal, and international agencies and partners. The mission of the Internet Crime Complaint Center (IC3) is to provide the public with a reliable and convenient reporting mechanism to submit information to the FBI concerning suspected Internet-facilitated criminal activity and to develop effective alliances with industry partners. Information is processed for investigative and intelligence purposes for law enforcement and public awareness. The mission of the National White Collar Crime Center (NW3C) is to provide training, investigative support and research to agencies and entities involved in the prevention, investigation and prosecution of economic and high-tech crime. While NW3C has no investigative authority itself, its job is to help law enforcement agencies better understand and utilize tools to combat economic and high-tech crime. NW3C has other sections within its organization, including Training (in Computer Crime, Financial Crime and Intelligence Analysis), Research, and Investigative Support Services. NW3C is funded by an annual congressional appropriation through the Bureau of Justice Assistance (BJA).","author":[{"dropping-particle":"","family":"FBI","given":"","non-dropping-particle":"","parse-names":false,"suffix":""}],"container-title":"Federal Bureau of Investigation: Internet Crime Complaint Center","id":"ITEM-1","issued":{"date-parts":[["2014"]]},"title":"2014 Internet Crime Report","type":"article-journal"},"uris":["http://www.mendeley.com/documents/?uuid=2ea5d4ca-b15b-42d7-8dda-f99c0856609e","http://www.mendeley.com/documents/?uuid=08288662-96c7-4660-bc08-56f796e7c286"]}],"mendeley":{"formattedCitation":"(FBI, 2014)","plainTextFormattedCitation":"(FBI, 2014)","previouslyFormattedCitation":"(FBI, 2014)"},"properties":{"noteIndex":0},"schema":"https://github.com/citation-style-language/schema/raw/master/csl-citation.json"}</w:instrText>
      </w:r>
      <w:r w:rsidR="00F432E8">
        <w:rPr>
          <w:lang w:val="en-US"/>
        </w:rPr>
        <w:fldChar w:fldCharType="separate"/>
      </w:r>
      <w:r w:rsidR="00F432E8" w:rsidRPr="00F432E8">
        <w:rPr>
          <w:noProof/>
          <w:lang w:val="en-US"/>
        </w:rPr>
        <w:t>(FBI, 2014)</w:t>
      </w:r>
      <w:r w:rsidR="00F432E8">
        <w:rPr>
          <w:lang w:val="en-US"/>
        </w:rPr>
        <w:fldChar w:fldCharType="end"/>
      </w:r>
      <w:r>
        <w:rPr>
          <w:lang w:val="en-US"/>
        </w:rPr>
        <w:t>. The overall presence of FBI is aimed at keeping Americans safe. The organization has jurisdiction of more than 200 groups of federal crimes which they investigate.</w:t>
      </w:r>
      <w:r w:rsidR="001052D5">
        <w:rPr>
          <w:lang w:val="en-US"/>
        </w:rPr>
        <w:t xml:space="preserve"> The agency has both investigative and enforcement authority which provides a reliable evaluation on better service delivery. </w:t>
      </w:r>
    </w:p>
    <w:p w14:paraId="4E01D05E" w14:textId="68F896D2" w:rsidR="003814C1" w:rsidRDefault="00F86DFA" w:rsidP="003E72A8">
      <w:pPr>
        <w:spacing w:line="480" w:lineRule="auto"/>
        <w:ind w:firstLine="720"/>
        <w:rPr>
          <w:lang w:val="en-US"/>
        </w:rPr>
      </w:pPr>
      <w:r w:rsidRPr="001052D5">
        <w:rPr>
          <w:lang w:val="en-US"/>
        </w:rPr>
        <w:t xml:space="preserve">The </w:t>
      </w:r>
      <w:r>
        <w:rPr>
          <w:lang w:val="en-US"/>
        </w:rPr>
        <w:t xml:space="preserve"> FBI agents are tasked with providing diverse services within their regions of operations. </w:t>
      </w:r>
      <w:r w:rsidRPr="001052D5">
        <w:rPr>
          <w:lang w:val="en-US"/>
        </w:rPr>
        <w:t xml:space="preserve">The functionality of the federal, state and local differs slightly based on how they are engaged in delivering their mandate. The provisions of the constitutions are evident regarding the role of the government and police in ensuring the wellbeing of the people with </w:t>
      </w:r>
      <w:r w:rsidRPr="001052D5">
        <w:rPr>
          <w:lang w:val="en-US"/>
        </w:rPr>
        <w:lastRenderedPageBreak/>
        <w:t xml:space="preserve">whom they represent. The police are aimed to enforce the rule of law and not selectively enforce the law </w:t>
      </w:r>
      <w:r w:rsidR="00F432E8">
        <w:rPr>
          <w:lang w:val="en-US"/>
        </w:rPr>
        <w:fldChar w:fldCharType="begin" w:fldLock="1"/>
      </w:r>
      <w:r w:rsidR="00F432E8">
        <w:rPr>
          <w:lang w:val="en-US"/>
        </w:rPr>
        <w:instrText>ADDIN CSL_CITATION {"citationItems":[{"id":"ITEM-1","itemData":{"DOI":"10.1007/s10611-013-9426-1","ISSN":"09254994","abstract":"Extant research on state policing of protest tends to focus on overt and physical forms of repression, yet far less work has examined more subtle types of social control. Such mechanisms often take place behind the scenes and are carried out within large government agencies. Drawing upon previously classified documents, we analyze the targeted investigation of the Black Panther Party by the Federal Bureau of Investigation (FBI) between 1968 and 1976. Findings indicate that directives from FBI headquarters to regional offices in North Carolina had three specific goals: forewarn law enforcement agencies of planned activities, gather evidence for possible preemptive prosecutions under an anti-sedition statute, and gather evidence for possible prosecution under existing firearm statutes. We highlight how local offices in North Carolina often distorted and embellished Black Panther activities to meet national FBI directives. Findings have important implications for ongoing state investigations of social movement activity.","author":[{"dropping-particle":"","family":"Brame","given":"Wendy J.","non-dropping-particle":"","parse-names":false,"suffix":""},{"dropping-particle":"","family":"Shriver","given":"Thomas E.","non-dropping-particle":"","parse-names":false,"suffix":""}],"container-title":"Crime, Law and Social Change","id":"ITEM-1","issued":{"date-parts":[["2013"]]},"title":"Surveillance and social control: The FBI's handling of the Black Panther Party in North Carolina","type":"article-journal"},"uris":["http://www.mendeley.com/documents/?uuid=cc62eb6b-ab00-4fd3-a88e-336a99932da2","http://www.mendeley.com/documents/?uuid=d421bc80-e134-4e19-a853-c20285152041"]}],"mendeley":{"formattedCitation":"(Brame &amp; Shriver, 2013)","plainTextFormattedCitation":"(Brame &amp; Shriver, 2013)","previouslyFormattedCitation":"(Brame &amp; Shriver, 2013)"},"properties":{"noteIndex":0},"schema":"https://github.com/citation-style-language/schema/raw/master/csl-citation.json"}</w:instrText>
      </w:r>
      <w:r w:rsidR="00F432E8">
        <w:rPr>
          <w:lang w:val="en-US"/>
        </w:rPr>
        <w:fldChar w:fldCharType="separate"/>
      </w:r>
      <w:r w:rsidR="00F432E8" w:rsidRPr="00F432E8">
        <w:rPr>
          <w:noProof/>
          <w:lang w:val="en-US"/>
        </w:rPr>
        <w:t>(Brame &amp; Shriver, 2013)</w:t>
      </w:r>
      <w:r w:rsidR="00F432E8">
        <w:rPr>
          <w:lang w:val="en-US"/>
        </w:rPr>
        <w:fldChar w:fldCharType="end"/>
      </w:r>
      <w:r w:rsidRPr="001052D5">
        <w:rPr>
          <w:lang w:val="en-US"/>
        </w:rPr>
        <w:t xml:space="preserve">. </w:t>
      </w:r>
    </w:p>
    <w:p w14:paraId="6C30B93A" w14:textId="1409AF63" w:rsidR="001052D5" w:rsidRDefault="005F42FA" w:rsidP="003E72A8">
      <w:pPr>
        <w:spacing w:line="480" w:lineRule="auto"/>
        <w:ind w:firstLine="720"/>
        <w:rPr>
          <w:lang w:val="en-US"/>
        </w:rPr>
      </w:pPr>
      <w:r>
        <w:rPr>
          <w:lang w:val="en-US"/>
        </w:rPr>
        <w:t xml:space="preserve">There are 56 FBI regional offices spread </w:t>
      </w:r>
      <w:r w:rsidR="00F432E8">
        <w:rPr>
          <w:lang w:val="en-US"/>
        </w:rPr>
        <w:t>across</w:t>
      </w:r>
      <w:r>
        <w:rPr>
          <w:lang w:val="en-US"/>
        </w:rPr>
        <w:t xml:space="preserve"> significant town with more than 400 resident agencies which ensure that the FBI services are close to local settings for easy access</w:t>
      </w:r>
      <w:r w:rsidR="00F86DFA" w:rsidRPr="001052D5">
        <w:rPr>
          <w:lang w:val="en-US"/>
        </w:rPr>
        <w:t>. Police administrators are police leaders who play a crucial role in the distribution of services within society. High profile security concerns are handled by the federal agencies in a centralized system where each agency understands its position efficiently within the community</w:t>
      </w:r>
      <w:r w:rsidR="00F432E8">
        <w:rPr>
          <w:lang w:val="en-US"/>
        </w:rPr>
        <w:t xml:space="preserve"> </w:t>
      </w:r>
      <w:r w:rsidR="00F432E8">
        <w:rPr>
          <w:lang w:val="en-US"/>
        </w:rPr>
        <w:fldChar w:fldCharType="begin" w:fldLock="1"/>
      </w:r>
      <w:r w:rsidR="00F432E8">
        <w:rPr>
          <w:lang w:val="en-US"/>
        </w:rPr>
        <w:instrText>ADDIN CSL_CITATION {"citationItems":[{"id":"ITEM-1","itemData":{"DOI":"10.1016/B978-0-12-385243-4.00025-3","ISBN":"9780123852434","abstract":"Criminal profiling has become associated with expert prediction and foresight regarding the criminal mind, just as forensic scientists interpret and evaluate physical trace evidence to link an offender to a crime scene, criminal profilers rely on behavioral and psychological trace evidence to deduce an offender's likely characteristics or even to link that person to a series of offenses. At the request of law enforcement agencies stumped by difficult cases, profilers currently enjoy an ever-growing involvement within criminal investigations. Prosecutors have also increasingly relied on criminal profilers. Since the 1980s, prosecutors have turned to these self-professed mind hunters to help explain the imperceptible psychodynamics of crime scenes, as well as the nature of psychopathic or psychotic criminals. The law enforcement profiler serves as a near-perfect expert witness for prosecutors with weak or highly circumstantial cases, offering reconstructions without evidence, psychological testimony without foundation, a sympathetic/pro-law enforcement outlook, and all at little or no extra cost (law enforcement profilers work either on staff in a police agency or for the Federal Bureau of Investigation [FBI], which does not charge local law enforcement for it is profiling-related services). This chapter opens with a brief discussion of the various analyses profilers undertake and testify to in court—namely, UNSUB (unknown subject) profiling, motivational analysis, and linkage analysis. The discussion then turns to the different admissibility standards. Next, we chronicle criminal profiling's empirical record. The chapter concludes with a survey of profiling case law. (PsycINFO Database Record (c) 2016 APA, all rights reserved)","author":[{"dropping-particle":"","family":"Cooley","given":"Craig M.","non-dropping-particle":"","parse-names":false,"suffix":""}],"container-title":"Criminal Profiling","id":"ITEM-1","issued":{"date-parts":[["2012"]]},"title":"Criminal profiling on Trial: The Admissibility of Criminal Profiling Evidence","type":"chapter"},"uris":["http://www.mendeley.com/documents/?uuid=0059194b-3737-49a9-adf5-496044ce8271","http://www.mendeley.com/documents/?uuid=efc85d76-9a59-432f-ae6d-822d46bfddb2"]}],"mendeley":{"formattedCitation":"(Cooley, 2012)","plainTextFormattedCitation":"(Cooley, 2012)","previouslyFormattedCitation":"(Cooley, 2012)"},"properties":{"noteIndex":0},"schema":"https://github.com/citation-style-language/schema/raw/master/csl-citation.json"}</w:instrText>
      </w:r>
      <w:r w:rsidR="00F432E8">
        <w:rPr>
          <w:lang w:val="en-US"/>
        </w:rPr>
        <w:fldChar w:fldCharType="separate"/>
      </w:r>
      <w:r w:rsidR="00F432E8" w:rsidRPr="00F432E8">
        <w:rPr>
          <w:noProof/>
          <w:lang w:val="en-US"/>
        </w:rPr>
        <w:t>(Cooley, 2012)</w:t>
      </w:r>
      <w:r w:rsidR="00F432E8">
        <w:rPr>
          <w:lang w:val="en-US"/>
        </w:rPr>
        <w:fldChar w:fldCharType="end"/>
      </w:r>
      <w:r w:rsidR="00F86DFA">
        <w:rPr>
          <w:lang w:val="en-US"/>
        </w:rPr>
        <w:t>.</w:t>
      </w:r>
    </w:p>
    <w:p w14:paraId="1B8CD113" w14:textId="5AACDEF6" w:rsidR="00EA2844" w:rsidRDefault="00F86DFA" w:rsidP="003E72A8">
      <w:pPr>
        <w:spacing w:line="480" w:lineRule="auto"/>
        <w:ind w:firstLine="720"/>
        <w:rPr>
          <w:lang w:val="en-US"/>
        </w:rPr>
      </w:pPr>
      <w:r>
        <w:rPr>
          <w:lang w:val="en-US"/>
        </w:rPr>
        <w:t xml:space="preserve">The terrorist threat has been a vital issue in the united states. The FBI together with the department of the homeland has focused on creating a highly strategic understanding of important changes which help in defining an improved environment. The agency has </w:t>
      </w:r>
      <w:r w:rsidR="00CB1832">
        <w:rPr>
          <w:lang w:val="en-US"/>
        </w:rPr>
        <w:t>established</w:t>
      </w:r>
      <w:r>
        <w:rPr>
          <w:lang w:val="en-US"/>
        </w:rPr>
        <w:t xml:space="preserve"> a </w:t>
      </w:r>
      <w:r w:rsidR="00CB1832">
        <w:rPr>
          <w:lang w:val="en-US"/>
        </w:rPr>
        <w:t>counterintelligence</w:t>
      </w:r>
      <w:r>
        <w:rPr>
          <w:lang w:val="en-US"/>
        </w:rPr>
        <w:t xml:space="preserve"> team which focuses on terror intelligence as well as ensuring that there is a strong focus on essential changes which help provide a unique level of engagement. </w:t>
      </w:r>
      <w:r w:rsidRPr="001052D5">
        <w:rPr>
          <w:lang w:val="en-US"/>
        </w:rPr>
        <w:t>Counterintelligence operations are organized based on the underlying principles that govern its commitment</w:t>
      </w:r>
      <w:r w:rsidR="00F432E8">
        <w:rPr>
          <w:lang w:val="en-US"/>
        </w:rPr>
        <w:t xml:space="preserve"> </w:t>
      </w:r>
      <w:r w:rsidR="00F432E8">
        <w:rPr>
          <w:lang w:val="en-US"/>
        </w:rPr>
        <w:fldChar w:fldCharType="begin" w:fldLock="1"/>
      </w:r>
      <w:r w:rsidR="00F432E8">
        <w:rPr>
          <w:lang w:val="en-US"/>
        </w:rPr>
        <w:instrText>ADDIN CSL_CITATION {"citationItems":[{"id":"ITEM-1","itemData":{"abstract":"18 U.S.C. § 2331 defines \"international terrorism\" and \"domestic terrorism\" for purposes of Chapter 113B of the U.S. Code, entitled \"Terrorism.”","author":[{"dropping-particle":"","family":"Federal Bureau of Investigation","given":"","non-dropping-particle":"","parse-names":false,"suffix":""}],"container-title":"FBI: Definitions of Terrorism in U.S. Code","id":"ITEM-1","issued":{"date-parts":[["2016"]]},"title":"Terrorism — FBI","type":"webpage"},"uris":["http://www.mendeley.com/documents/?uuid=7a88f8bb-4951-4a56-8ca5-d5e6b33d459d","http://www.mendeley.com/documents/?uuid=b5cb7fe9-1f5a-4325-977b-5e0203fd7f81"]}],"mendeley":{"formattedCitation":"(Federal Bureau of Investigation, 2016)","plainTextFormattedCitation":"(Federal Bureau of Investigation, 2016)","previouslyFormattedCitation":"(Federal Bureau of Investigation, 2016)"},"properties":{"noteIndex":0},"schema":"https://github.com/citation-style-language/schema/raw/master/csl-citation.json"}</w:instrText>
      </w:r>
      <w:r w:rsidR="00F432E8">
        <w:rPr>
          <w:lang w:val="en-US"/>
        </w:rPr>
        <w:fldChar w:fldCharType="separate"/>
      </w:r>
      <w:r w:rsidR="00F432E8" w:rsidRPr="00F432E8">
        <w:rPr>
          <w:noProof/>
          <w:lang w:val="en-US"/>
        </w:rPr>
        <w:t>(Federal Bureau of Investigation, 2016)</w:t>
      </w:r>
      <w:r w:rsidR="00F432E8">
        <w:rPr>
          <w:lang w:val="en-US"/>
        </w:rPr>
        <w:fldChar w:fldCharType="end"/>
      </w:r>
      <w:r w:rsidRPr="001052D5">
        <w:rPr>
          <w:lang w:val="en-US"/>
        </w:rPr>
        <w:t xml:space="preserve">. </w:t>
      </w:r>
    </w:p>
    <w:p w14:paraId="16845BB9" w14:textId="6AD33E8A" w:rsidR="00C63CEB" w:rsidRPr="00C63CEB" w:rsidRDefault="00C63CEB" w:rsidP="00C63CEB">
      <w:pPr>
        <w:spacing w:line="480" w:lineRule="auto"/>
        <w:ind w:firstLine="720"/>
        <w:rPr>
          <w:lang w:val="en-US"/>
        </w:rPr>
      </w:pPr>
      <w:r w:rsidRPr="00C63CEB">
        <w:rPr>
          <w:lang w:val="en-US"/>
        </w:rPr>
        <w:t>The FBI has different functionalities which are aimed at providing a strong emphasis on the need to ensure the united states citizens are protected. One of the critical goals of the FBI is to conduct professional investigations as well as authorized intelligence collection to help counter the threat of terrorism which is posed by both local and domestic terrorists. The FBI thus in the fight against terrorism it designs and defines counterterrorism initiatives which help in enhancing the ability of the agency to minimize the threat of terrorism</w:t>
      </w:r>
      <w:r>
        <w:rPr>
          <w:lang w:val="en-US"/>
        </w:rPr>
        <w:t xml:space="preserve"> </w:t>
      </w:r>
      <w:r w:rsidRPr="00C63CEB">
        <w:rPr>
          <w:lang w:val="en-US"/>
        </w:rPr>
        <w:fldChar w:fldCharType="begin" w:fldLock="1"/>
      </w:r>
      <w:r w:rsidRPr="00C63CEB">
        <w:rPr>
          <w:lang w:val="en-US"/>
        </w:rPr>
        <w:instrText>ADDIN CSL_CITATION {"citationItems":[{"id":"ITEM-1","itemData":{"DOI":"10.1007/s10611-013-9426-1","ISSN":"09254994","abstract":"Extant research on state policing of protest tends to focus on overt and physical forms of repression, yet far less work has examined more subtle types of social control. Such mechanisms often take place behind the scenes and are carried out within large government agencies. Drawing upon previously classified documents, we analyze the targeted investigation of the Black Panther Party by the Federal Bureau of Investigation (FBI) between 1968 and 1976. Findings indicate that directives from FBI headquarters to regional offices in North Carolina had three specific goals: forewarn law enforcement agencies of planned activities, gather evidence for possible preemptive prosecutions under an anti-sedition statute, and gather evidence for possible prosecution under existing firearm statutes. We highlight how local offices in North Carolina often distorted and embellished Black Panther activities to meet national FBI directives. Findings have important implications for ongoing state investigations of social movement activity.","author":[{"dropping-particle":"","family":"Brame","given":"Wendy J.","non-dropping-particle":"","parse-names":false,"suffix":""},{"dropping-particle":"","family":"Shriver","given":"Thomas E.","non-dropping-particle":"","parse-names":false,"suffix":""}],"container-title":"Crime, Law and Social Change","id":"ITEM-1","issued":{"date-parts":[["2013"]]},"title":"Surveillance and social control: The FBI's handling of the Black Panther Party in North Carolina","type":"article-journal"},"uris":["http://www.mendeley.com/documents/?uuid=cc62eb6b-ab00-4fd3-a88e-336a99932da2","http://www.mendeley.com/documents/?uuid=d421bc80-e134-4e19-a853-c20285152041"]}],"mendeley":{"formattedCitation":"(Brame &amp; Shriver, 2013)","plainTextFormattedCitation":"(Brame &amp; Shriver, 2013)","previouslyFormattedCitation":"(Brame &amp; Shriver, 2013)"},"properties":{"noteIndex":0},"schema":"https://github.com/citation-style-language/schema/raw/master/csl-citation.json"}</w:instrText>
      </w:r>
      <w:r w:rsidRPr="00C63CEB">
        <w:rPr>
          <w:lang w:val="en-US"/>
        </w:rPr>
        <w:fldChar w:fldCharType="separate"/>
      </w:r>
      <w:r w:rsidRPr="00C63CEB">
        <w:rPr>
          <w:lang w:val="en-US"/>
        </w:rPr>
        <w:t>(Brame &amp; Shriver, 2013)</w:t>
      </w:r>
      <w:r w:rsidRPr="00C63CEB">
        <w:rPr>
          <w:lang w:val="en-US"/>
        </w:rPr>
        <w:fldChar w:fldCharType="end"/>
      </w:r>
      <w:r w:rsidRPr="00C63CEB">
        <w:rPr>
          <w:lang w:val="en-US"/>
        </w:rPr>
        <w:t>.  The agency also works together with other state departments such as the homeland security department and Central Intelligence Agency to ensure that there is enough intelligence regarding local and foreign threats which involve the united states.</w:t>
      </w:r>
    </w:p>
    <w:p w14:paraId="34F2720A" w14:textId="1A401DFF" w:rsidR="00C63CEB" w:rsidRDefault="00C63CEB" w:rsidP="00C63CEB">
      <w:pPr>
        <w:spacing w:line="480" w:lineRule="auto"/>
        <w:ind w:firstLine="720"/>
        <w:rPr>
          <w:lang w:val="en-US"/>
        </w:rPr>
      </w:pPr>
      <w:r w:rsidRPr="00C63CEB">
        <w:rPr>
          <w:lang w:val="en-US"/>
        </w:rPr>
        <w:lastRenderedPageBreak/>
        <w:t>The agency is also involved in investigations to identify violations of the united stated laws when requested by state and local authorities. The FBI conducts its operations in a highly regulated manner which provide a strong emphasis on essential changes which give a reliable evaluation of important changes which help in creating a profoundly transformed environment. The high level of professionalism has ensured that the agency remains the worlds unique and efficient crime busters. The high level of connectivity across the country provides that the agency collects key evidence which can help in protecting the needs of American citizens</w:t>
      </w:r>
      <w:r>
        <w:rPr>
          <w:lang w:val="en-US"/>
        </w:rPr>
        <w:t xml:space="preserve"> </w:t>
      </w:r>
      <w:r w:rsidRPr="00C63CEB">
        <w:rPr>
          <w:lang w:val="en-US"/>
        </w:rPr>
        <w:t xml:space="preserve"> </w:t>
      </w:r>
      <w:r w:rsidRPr="00C63CEB">
        <w:rPr>
          <w:lang w:val="en-US"/>
        </w:rPr>
        <w:fldChar w:fldCharType="begin" w:fldLock="1"/>
      </w:r>
      <w:r w:rsidRPr="00C63CEB">
        <w:rPr>
          <w:lang w:val="en-US"/>
        </w:rPr>
        <w:instrText>ADDIN CSL_CITATION {"citationItems":[{"id":"ITEM-1","itemData":{"DOI":"10.1016/B978-0-323-29606-9.00009-2","ISBN":"9780323296069","abstract":"The investigation of organized crime involves strategies and techniques quite different from conventional crimes. Currently, organized crime investigations at the federal level are coordinated by the Organized Crime Section at Federal Bureau of Investigation (FBI) headquarters. The FBI also participates in joint task forces with other federal, state, and local law enforcement agencies. These task forces are not coordinated centrally as were the original organized crime strike forces, but they have generated significant cases over the years. Whereas traditional crimes of assault and theft involve force or stealth, organized crimes involve infiltration and conspiracy, which require the investigator to be as sophisticated as the offender. The five techniques described in this chapter characterize the difference between organized crime investigations and investigations for other crimes. These tools involve more planning, organization, and time-intensive effort than traditional law enforcement tools, but they are necessary to investigate criminal behavior that also is better planned and organized than traditional crimes.","author":[{"dropping-particle":"","family":"Albanese","given":"Jay S.","non-dropping-particle":"","parse-names":false,"suffix":""},{"dropping-particle":"","family":"Albanese","given":"Jay S.","non-dropping-particle":"","parse-names":false,"suffix":""}],"container-title":"Organized Crime","id":"ITEM-1","issued":{"date-parts":[["2015"]]},"title":"Chapter 9 – Investigative Tools","type":"chapter"},"uris":["http://www.mendeley.com/documents/?uuid=a039723a-9395-4488-ba55-1a610f8238aa"]}],"mendeley":{"formattedCitation":"(Albanese &amp; Albanese, 2015)","plainTextFormattedCitation":"(Albanese &amp; Albanese, 2015)","previouslyFormattedCitation":"(Albanese &amp; Albanese, 2015)"},"properties":{"noteIndex":0},"schema":"https://github.com/citation-style-language/schema/raw/master/csl-citation.json"}</w:instrText>
      </w:r>
      <w:r w:rsidRPr="00C63CEB">
        <w:rPr>
          <w:lang w:val="en-US"/>
        </w:rPr>
        <w:fldChar w:fldCharType="separate"/>
      </w:r>
      <w:r w:rsidRPr="00C63CEB">
        <w:rPr>
          <w:lang w:val="en-US"/>
        </w:rPr>
        <w:t>(Albanese &amp; Albanese, 2015)</w:t>
      </w:r>
      <w:r w:rsidRPr="00C63CEB">
        <w:rPr>
          <w:lang w:val="en-US"/>
        </w:rPr>
        <w:fldChar w:fldCharType="end"/>
      </w:r>
      <w:r w:rsidRPr="00C63CEB">
        <w:rPr>
          <w:lang w:val="en-US"/>
        </w:rPr>
        <w:t>.</w:t>
      </w:r>
    </w:p>
    <w:p w14:paraId="2A5D2346" w14:textId="4AF45C7C" w:rsidR="001052D5" w:rsidRDefault="00F86DFA" w:rsidP="003E72A8">
      <w:pPr>
        <w:spacing w:line="480" w:lineRule="auto"/>
        <w:ind w:firstLine="720"/>
        <w:rPr>
          <w:lang w:val="en-US"/>
        </w:rPr>
      </w:pPr>
      <w:r w:rsidRPr="001052D5">
        <w:rPr>
          <w:lang w:val="en-US"/>
        </w:rPr>
        <w:t>Foreign relations are guided by undercover investigations under which it is possible to improve the existing ties between countries through engagement where it is possible to achieve favorable focus on matters pertaining to national security.  Offensive and defensive strategies that are integrated within the operational where it is possible to obtain a higher level of engagement based on national interests. Counterintelligence measures are implemented with a critical focus on security, nation status and a real understanding of the underlying need for positive change</w:t>
      </w:r>
      <w:r>
        <w:rPr>
          <w:lang w:val="en-US"/>
        </w:rPr>
        <w:t>.</w:t>
      </w:r>
    </w:p>
    <w:p w14:paraId="67DE459A" w14:textId="21ABC525" w:rsidR="00F432E8" w:rsidRDefault="00F86DFA" w:rsidP="003E72A8">
      <w:pPr>
        <w:spacing w:line="480" w:lineRule="auto"/>
        <w:ind w:firstLine="720"/>
        <w:rPr>
          <w:lang w:val="en-US"/>
        </w:rPr>
      </w:pPr>
      <w:r w:rsidRPr="001052D5">
        <w:rPr>
          <w:lang w:val="en-US"/>
        </w:rPr>
        <w:t xml:space="preserve">The federal Bureau of investigations (FBI) is responsible for political surveillance in the investigation of terrorism in the united states. The FBI has integrated a special joint task force which incorporates the services of many security agencies. The joint terrorism task force has an individual responsibility for providing surveillance and information relating to terrorism across different events in the united states. It is a partnership between federal, state and local law enforcement agencies which provide real-time information on terrorism development. The Joint terrorism task force is engaged in surveillance and electronic monitoring in their efforts to put the united states citizen safe. The FBI is directly involved in the funding process of the task force as well as obtaining a written memorandum of </w:t>
      </w:r>
      <w:r w:rsidRPr="001052D5">
        <w:rPr>
          <w:lang w:val="en-US"/>
        </w:rPr>
        <w:lastRenderedPageBreak/>
        <w:t>understanding between all the participating law enforcement agencies</w:t>
      </w:r>
      <w:r>
        <w:rPr>
          <w:lang w:val="en-US"/>
        </w:rPr>
        <w:t xml:space="preserve"> </w:t>
      </w:r>
      <w:r>
        <w:rPr>
          <w:lang w:val="en-US"/>
        </w:rPr>
        <w:fldChar w:fldCharType="begin" w:fldLock="1"/>
      </w:r>
      <w:r>
        <w:rPr>
          <w:lang w:val="en-US"/>
        </w:rPr>
        <w:instrText>ADDIN CSL_CITATION {"citationItems":[{"id":"ITEM-1","itemData":{"DOI":"10.1007/s10611-013-9426-1","ISSN":"09254994","abstract":"Extant research on state policing of protest tends to focus on overt and physical forms of repression, yet far less work has examined more subtle types of social control. Such mechanisms often take place behind the scenes and are carried out within large government agencies. Drawing upon previously classified documents, we analyze the targeted investigation of the Black Panther Party by the Federal Bureau of Investigation (FBI) between 1968 and 1976. Findings indicate that directives from FBI headquarters to regional offices in North Carolina had three specific goals: forewarn law enforcement agencies of planned activities, gather evidence for possible preemptive prosecutions under an anti-sedition statute, and gather evidence for possible prosecution under existing firearm statutes. We highlight how local offices in North Carolina often distorted and embellished Black Panther activities to meet national FBI directives. Findings have important implications for ongoing state investigations of social movement activity.","author":[{"dropping-particle":"","family":"Brame","given":"Wendy J.","non-dropping-particle":"","parse-names":false,"suffix":""},{"dropping-particle":"","family":"Shriver","given":"Thomas E.","non-dropping-particle":"","parse-names":false,"suffix":""}],"container-title":"Crime, Law and Social Change","id":"ITEM-1","issued":{"date-parts":[["2013"]]},"title":"Surveillance and social control: The FBI's handling of the Black Panther Party in North Carolina","type":"article-journal"},"uris":["http://www.mendeley.com/documents/?uuid=d421bc80-e134-4e19-a853-c20285152041"]}],"mendeley":{"formattedCitation":"(Brame &amp; Shriver, 2013)","plainTextFormattedCitation":"(Brame &amp; Shriver, 2013)","previouslyFormattedCitation":"(Brame &amp; Shriver, 2013)"},"properties":{"noteIndex":0},"schema":"https://github.com/citation-style-language/schema/raw/master/csl-citation.json"}</w:instrText>
      </w:r>
      <w:r>
        <w:rPr>
          <w:lang w:val="en-US"/>
        </w:rPr>
        <w:fldChar w:fldCharType="separate"/>
      </w:r>
      <w:r w:rsidRPr="00F432E8">
        <w:rPr>
          <w:noProof/>
          <w:lang w:val="en-US"/>
        </w:rPr>
        <w:t>(Brame &amp; Shriver, 2013)</w:t>
      </w:r>
      <w:r>
        <w:rPr>
          <w:lang w:val="en-US"/>
        </w:rPr>
        <w:fldChar w:fldCharType="end"/>
      </w:r>
      <w:r w:rsidRPr="001052D5">
        <w:rPr>
          <w:lang w:val="en-US"/>
        </w:rPr>
        <w:t>.</w:t>
      </w:r>
      <w:r w:rsidR="005F42FA">
        <w:rPr>
          <w:lang w:val="en-US"/>
        </w:rPr>
        <w:t xml:space="preserve"> </w:t>
      </w:r>
    </w:p>
    <w:p w14:paraId="2EEEA8E4" w14:textId="6DE1E08E" w:rsidR="001052D5" w:rsidRDefault="00F86DFA" w:rsidP="003E72A8">
      <w:pPr>
        <w:spacing w:line="480" w:lineRule="auto"/>
        <w:ind w:firstLine="720"/>
        <w:rPr>
          <w:lang w:val="en-US"/>
        </w:rPr>
      </w:pPr>
      <w:r>
        <w:rPr>
          <w:lang w:val="en-US"/>
        </w:rPr>
        <w:t>The counterterrorism division is mainly engaged in terror-related law enforcement and intelligence. Thus to maintain a high-level intelligence, the division has been working closely with other agencies which help in promoting better outcomes in improving the security of all Americans. The presence of many terror groups targeting united states means that the country through its security agencies needs to remain alert in alerting more terror-related catastrophes such as the September 11 attack which is the deadliest terror activity in the history of the united states</w:t>
      </w:r>
      <w:r w:rsidR="00F432E8">
        <w:rPr>
          <w:lang w:val="en-US"/>
        </w:rPr>
        <w:t xml:space="preserve"> </w:t>
      </w:r>
      <w:r w:rsidR="00F432E8">
        <w:rPr>
          <w:lang w:val="en-US"/>
        </w:rPr>
        <w:fldChar w:fldCharType="begin" w:fldLock="1"/>
      </w:r>
      <w:r w:rsidR="00A04208">
        <w:rPr>
          <w:lang w:val="en-US"/>
        </w:rPr>
        <w:instrText>ADDIN CSL_CITATION {"citationItems":[{"id":"ITEM-1","itemData":{"DOI":"10.1016/B978-0-323-29606-9.00009-2","ISBN":"9780323296069","abstract":"The investigation of organized crime involves strategies and techniques quite different from conventional crimes. Currently, organized crime investigations at the federal level are coordinated by the Organized Crime Section at Federal Bureau of Investigation (FBI) headquarters. The FBI also participates in joint task forces with other federal, state, and local law enforcement agencies. These task forces are not coordinated centrally as were the original organized crime strike forces, but they have generated significant cases over the years. Whereas traditional crimes of assault and theft involve force or stealth, organized crimes involve infiltration and conspiracy, which require the investigator to be as sophisticated as the offender. The five techniques described in this chapter characterize the difference between organized crime investigations and investigations for other crimes. These tools involve more planning, organization, and time-intensive effort than traditional law enforcement tools, but they are necessary to investigate criminal behavior that also is better planned and organized than traditional crimes.","author":[{"dropping-particle":"","family":"Albanese","given":"Jay S.","non-dropping-particle":"","parse-names":false,"suffix":""},{"dropping-particle":"","family":"Albanese","given":"Jay S.","non-dropping-particle":"","parse-names":false,"suffix":""}],"container-title":"Organized Crime","id":"ITEM-1","issued":{"date-parts":[["2015"]]},"title":"Chapter 9 – Investigative Tools","type":"chapter"},"uris":["http://www.mendeley.com/documents/?uuid=a039723a-9395-4488-ba55-1a610f8238aa"]}],"mendeley":{"formattedCitation":"(Albanese &amp; Albanese, 2015)","plainTextFormattedCitation":"(Albanese &amp; Albanese, 2015)","previouslyFormattedCitation":"(Albanese &amp; Albanese, 2015)"},"properties":{"noteIndex":0},"schema":"https://github.com/citation-style-language/schema/raw/master/csl-citation.json"}</w:instrText>
      </w:r>
      <w:r w:rsidR="00F432E8">
        <w:rPr>
          <w:lang w:val="en-US"/>
        </w:rPr>
        <w:fldChar w:fldCharType="separate"/>
      </w:r>
      <w:r w:rsidR="00F432E8" w:rsidRPr="00F432E8">
        <w:rPr>
          <w:noProof/>
          <w:lang w:val="en-US"/>
        </w:rPr>
        <w:t>(Albanese &amp; Albanese, 2015)</w:t>
      </w:r>
      <w:r w:rsidR="00F432E8">
        <w:rPr>
          <w:lang w:val="en-US"/>
        </w:rPr>
        <w:fldChar w:fldCharType="end"/>
      </w:r>
      <w:r>
        <w:rPr>
          <w:lang w:val="en-US"/>
        </w:rPr>
        <w:t>.</w:t>
      </w:r>
    </w:p>
    <w:p w14:paraId="74F34FB5" w14:textId="09FF88D5" w:rsidR="001052D5" w:rsidRDefault="001052D5" w:rsidP="001052D5">
      <w:pPr>
        <w:rPr>
          <w:lang w:val="en-US"/>
        </w:rPr>
      </w:pPr>
    </w:p>
    <w:p w14:paraId="2B30F972" w14:textId="10DE4862" w:rsidR="00A04208" w:rsidRDefault="00A04208" w:rsidP="001052D5">
      <w:pPr>
        <w:rPr>
          <w:lang w:val="en-US"/>
        </w:rPr>
      </w:pPr>
    </w:p>
    <w:p w14:paraId="3A8B9365" w14:textId="17A26196" w:rsidR="00A04208" w:rsidRDefault="00A04208" w:rsidP="001052D5">
      <w:pPr>
        <w:rPr>
          <w:lang w:val="en-US"/>
        </w:rPr>
      </w:pPr>
    </w:p>
    <w:p w14:paraId="4B866D71" w14:textId="7F21597F" w:rsidR="00A04208" w:rsidRDefault="00A04208" w:rsidP="001052D5">
      <w:pPr>
        <w:rPr>
          <w:lang w:val="en-US"/>
        </w:rPr>
      </w:pPr>
    </w:p>
    <w:p w14:paraId="3D7347FC" w14:textId="0A9D694A" w:rsidR="00A04208" w:rsidRDefault="00A04208" w:rsidP="001052D5">
      <w:pPr>
        <w:rPr>
          <w:lang w:val="en-US"/>
        </w:rPr>
      </w:pPr>
    </w:p>
    <w:p w14:paraId="53DCEE15" w14:textId="5DA6904A" w:rsidR="00A04208" w:rsidRDefault="00A04208" w:rsidP="001052D5">
      <w:pPr>
        <w:rPr>
          <w:lang w:val="en-US"/>
        </w:rPr>
      </w:pPr>
    </w:p>
    <w:p w14:paraId="59FA5FF7" w14:textId="754074F2" w:rsidR="00A04208" w:rsidRDefault="00A04208" w:rsidP="001052D5">
      <w:pPr>
        <w:rPr>
          <w:lang w:val="en-US"/>
        </w:rPr>
      </w:pPr>
    </w:p>
    <w:p w14:paraId="44D36F89" w14:textId="7E6AABEA" w:rsidR="00A04208" w:rsidRDefault="00A04208" w:rsidP="001052D5">
      <w:pPr>
        <w:rPr>
          <w:lang w:val="en-US"/>
        </w:rPr>
      </w:pPr>
    </w:p>
    <w:p w14:paraId="5D522558" w14:textId="336F8C31" w:rsidR="00A04208" w:rsidRDefault="00A04208" w:rsidP="001052D5">
      <w:pPr>
        <w:rPr>
          <w:lang w:val="en-US"/>
        </w:rPr>
      </w:pPr>
    </w:p>
    <w:p w14:paraId="59620ADE" w14:textId="2147C30A" w:rsidR="00A04208" w:rsidRDefault="00A04208" w:rsidP="001052D5">
      <w:pPr>
        <w:rPr>
          <w:lang w:val="en-US"/>
        </w:rPr>
      </w:pPr>
    </w:p>
    <w:p w14:paraId="591208AF" w14:textId="23E4084E" w:rsidR="00A04208" w:rsidRDefault="00A04208" w:rsidP="001052D5">
      <w:pPr>
        <w:rPr>
          <w:lang w:val="en-US"/>
        </w:rPr>
      </w:pPr>
    </w:p>
    <w:p w14:paraId="7E1F4CEF" w14:textId="11D75A4C" w:rsidR="00A04208" w:rsidRDefault="00A04208" w:rsidP="001052D5">
      <w:pPr>
        <w:rPr>
          <w:lang w:val="en-US"/>
        </w:rPr>
      </w:pPr>
    </w:p>
    <w:p w14:paraId="0DAFD7A0" w14:textId="2DEFC994" w:rsidR="00A04208" w:rsidRDefault="00A04208" w:rsidP="001052D5">
      <w:pPr>
        <w:rPr>
          <w:lang w:val="en-US"/>
        </w:rPr>
      </w:pPr>
    </w:p>
    <w:p w14:paraId="6314EBEF" w14:textId="34AC205E" w:rsidR="00A04208" w:rsidRDefault="00A04208" w:rsidP="001052D5">
      <w:pPr>
        <w:rPr>
          <w:lang w:val="en-US"/>
        </w:rPr>
      </w:pPr>
    </w:p>
    <w:p w14:paraId="4A62893E" w14:textId="4137FA39" w:rsidR="00A04208" w:rsidRDefault="00A04208" w:rsidP="001052D5">
      <w:pPr>
        <w:rPr>
          <w:lang w:val="en-US"/>
        </w:rPr>
      </w:pPr>
    </w:p>
    <w:p w14:paraId="1B87295C" w14:textId="091143EE" w:rsidR="00A04208" w:rsidRDefault="00A04208" w:rsidP="001052D5">
      <w:pPr>
        <w:rPr>
          <w:lang w:val="en-US"/>
        </w:rPr>
      </w:pPr>
    </w:p>
    <w:p w14:paraId="7667AE91" w14:textId="77777777" w:rsidR="00C63CEB" w:rsidRDefault="00C63CEB" w:rsidP="001052D5">
      <w:pPr>
        <w:rPr>
          <w:lang w:val="en-US"/>
        </w:rPr>
      </w:pPr>
    </w:p>
    <w:p w14:paraId="644EF009" w14:textId="435B88A6" w:rsidR="00A04208" w:rsidRDefault="00A04208" w:rsidP="001052D5">
      <w:pPr>
        <w:rPr>
          <w:lang w:val="en-US"/>
        </w:rPr>
      </w:pPr>
    </w:p>
    <w:p w14:paraId="29961A0E" w14:textId="7E724514" w:rsidR="00A04208" w:rsidRDefault="00A04208" w:rsidP="001052D5">
      <w:pPr>
        <w:rPr>
          <w:lang w:val="en-US"/>
        </w:rPr>
      </w:pPr>
    </w:p>
    <w:p w14:paraId="53B3CB50" w14:textId="046DB23B" w:rsidR="00F432E8" w:rsidRDefault="00F86DFA" w:rsidP="00A04208">
      <w:pPr>
        <w:spacing w:line="480" w:lineRule="auto"/>
        <w:jc w:val="center"/>
        <w:rPr>
          <w:lang w:val="en-US"/>
        </w:rPr>
      </w:pPr>
      <w:r>
        <w:rPr>
          <w:lang w:val="en-US"/>
        </w:rPr>
        <w:lastRenderedPageBreak/>
        <w:t>References</w:t>
      </w:r>
    </w:p>
    <w:p w14:paraId="237C193D" w14:textId="108808EA" w:rsidR="00EA2844" w:rsidRPr="00EA2844" w:rsidRDefault="00A04208" w:rsidP="00EA2844">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00EA2844" w:rsidRPr="00EA2844">
        <w:rPr>
          <w:rFonts w:cs="Times New Roman"/>
          <w:noProof/>
          <w:szCs w:val="24"/>
        </w:rPr>
        <w:t xml:space="preserve">Albanese, J. S., &amp; Albanese, J. S. (2015). Chapter 9 – Investigative Tools. In </w:t>
      </w:r>
      <w:r w:rsidR="00EA2844" w:rsidRPr="00EA2844">
        <w:rPr>
          <w:rFonts w:cs="Times New Roman"/>
          <w:i/>
          <w:iCs/>
          <w:noProof/>
          <w:szCs w:val="24"/>
        </w:rPr>
        <w:t>Organized Crime</w:t>
      </w:r>
      <w:r w:rsidR="00EA2844" w:rsidRPr="00EA2844">
        <w:rPr>
          <w:rFonts w:cs="Times New Roman"/>
          <w:noProof/>
          <w:szCs w:val="24"/>
        </w:rPr>
        <w:t>. https://doi.org/10.1016/B978-0-323-29606-9.00009-2</w:t>
      </w:r>
    </w:p>
    <w:p w14:paraId="6AE0FE3E"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Bjelopera, J. P. (2013). </w:t>
      </w:r>
      <w:r w:rsidRPr="00EA2844">
        <w:rPr>
          <w:rFonts w:cs="Times New Roman"/>
          <w:i/>
          <w:iCs/>
          <w:noProof/>
          <w:szCs w:val="24"/>
        </w:rPr>
        <w:t>Countering violent extremism in the United States</w:t>
      </w:r>
      <w:r w:rsidRPr="00EA2844">
        <w:rPr>
          <w:rFonts w:cs="Times New Roman"/>
          <w:noProof/>
          <w:szCs w:val="24"/>
        </w:rPr>
        <w:t xml:space="preserve">. </w:t>
      </w:r>
      <w:r w:rsidRPr="00EA2844">
        <w:rPr>
          <w:rFonts w:cs="Times New Roman"/>
          <w:i/>
          <w:iCs/>
          <w:noProof/>
          <w:szCs w:val="24"/>
        </w:rPr>
        <w:t>Violent Extremism in the United States: Counter-Strategies</w:t>
      </w:r>
      <w:r w:rsidRPr="00EA2844">
        <w:rPr>
          <w:rFonts w:cs="Times New Roman"/>
          <w:noProof/>
          <w:szCs w:val="24"/>
        </w:rPr>
        <w:t>.</w:t>
      </w:r>
    </w:p>
    <w:p w14:paraId="54867C7F"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Brame, W. J., &amp; Shriver, T. E. (2013). Surveillance and social control: The FBI’s handling of the Black Panther Party in North Carolina. </w:t>
      </w:r>
      <w:r w:rsidRPr="00EA2844">
        <w:rPr>
          <w:rFonts w:cs="Times New Roman"/>
          <w:i/>
          <w:iCs/>
          <w:noProof/>
          <w:szCs w:val="24"/>
        </w:rPr>
        <w:t>Crime, Law and Social Change</w:t>
      </w:r>
      <w:r w:rsidRPr="00EA2844">
        <w:rPr>
          <w:rFonts w:cs="Times New Roman"/>
          <w:noProof/>
          <w:szCs w:val="24"/>
        </w:rPr>
        <w:t>. https://doi.org/10.1007/s10611-013-9426-1</w:t>
      </w:r>
    </w:p>
    <w:p w14:paraId="4662E43C"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Cooley, C. M. (2012). Criminal profiling on Trial: The Admissibility of Criminal Profiling Evidence. In </w:t>
      </w:r>
      <w:r w:rsidRPr="00EA2844">
        <w:rPr>
          <w:rFonts w:cs="Times New Roman"/>
          <w:i/>
          <w:iCs/>
          <w:noProof/>
          <w:szCs w:val="24"/>
        </w:rPr>
        <w:t>Criminal Profiling</w:t>
      </w:r>
      <w:r w:rsidRPr="00EA2844">
        <w:rPr>
          <w:rFonts w:cs="Times New Roman"/>
          <w:noProof/>
          <w:szCs w:val="24"/>
        </w:rPr>
        <w:t>. https://doi.org/10.1016/B978-0-12-385243-4.00025-3</w:t>
      </w:r>
    </w:p>
    <w:p w14:paraId="5ADAB24E"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Elkins, K. (2013). </w:t>
      </w:r>
      <w:r w:rsidRPr="00EA2844">
        <w:rPr>
          <w:rFonts w:cs="Times New Roman"/>
          <w:i/>
          <w:iCs/>
          <w:noProof/>
          <w:szCs w:val="24"/>
        </w:rPr>
        <w:t>Forensic DNA Biology</w:t>
      </w:r>
      <w:r w:rsidRPr="00EA2844">
        <w:rPr>
          <w:rFonts w:cs="Times New Roman"/>
          <w:noProof/>
          <w:szCs w:val="24"/>
        </w:rPr>
        <w:t xml:space="preserve">. </w:t>
      </w:r>
      <w:r w:rsidRPr="00EA2844">
        <w:rPr>
          <w:rFonts w:cs="Times New Roman"/>
          <w:i/>
          <w:iCs/>
          <w:noProof/>
          <w:szCs w:val="24"/>
        </w:rPr>
        <w:t>Forensic DNA Biology</w:t>
      </w:r>
      <w:r w:rsidRPr="00EA2844">
        <w:rPr>
          <w:rFonts w:cs="Times New Roman"/>
          <w:noProof/>
          <w:szCs w:val="24"/>
        </w:rPr>
        <w:t>. https://doi.org/10.1016/C2011-0-06748-0</w:t>
      </w:r>
    </w:p>
    <w:p w14:paraId="12F73261"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FBI. (2014). 2014 Internet Crime Report. </w:t>
      </w:r>
      <w:r w:rsidRPr="00EA2844">
        <w:rPr>
          <w:rFonts w:cs="Times New Roman"/>
          <w:i/>
          <w:iCs/>
          <w:noProof/>
          <w:szCs w:val="24"/>
        </w:rPr>
        <w:t>Federal Bureau of Investigation: Internet Crime Complaint Center</w:t>
      </w:r>
      <w:r w:rsidRPr="00EA2844">
        <w:rPr>
          <w:rFonts w:cs="Times New Roman"/>
          <w:noProof/>
          <w:szCs w:val="24"/>
        </w:rPr>
        <w:t>. https://doi.org/10.1002/ejoc.201200111</w:t>
      </w:r>
    </w:p>
    <w:p w14:paraId="30547720"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Federal Bureau of Investigation. (2016). Terrorism — FBI.</w:t>
      </w:r>
    </w:p>
    <w:p w14:paraId="336ACFD5" w14:textId="77777777" w:rsidR="00EA2844" w:rsidRPr="00EA2844" w:rsidRDefault="00EA2844" w:rsidP="00EA2844">
      <w:pPr>
        <w:widowControl w:val="0"/>
        <w:autoSpaceDE w:val="0"/>
        <w:autoSpaceDN w:val="0"/>
        <w:adjustRightInd w:val="0"/>
        <w:spacing w:line="480" w:lineRule="auto"/>
        <w:ind w:left="480" w:hanging="480"/>
        <w:rPr>
          <w:rFonts w:cs="Times New Roman"/>
          <w:noProof/>
          <w:szCs w:val="24"/>
        </w:rPr>
      </w:pPr>
      <w:r w:rsidRPr="00EA2844">
        <w:rPr>
          <w:rFonts w:cs="Times New Roman"/>
          <w:noProof/>
          <w:szCs w:val="24"/>
        </w:rPr>
        <w:t xml:space="preserve">Gabel, J. (2014). Realizing reliability in forensic science from the ground up. </w:t>
      </w:r>
      <w:r w:rsidRPr="00EA2844">
        <w:rPr>
          <w:rFonts w:cs="Times New Roman"/>
          <w:i/>
          <w:iCs/>
          <w:noProof/>
          <w:szCs w:val="24"/>
        </w:rPr>
        <w:t>Journal of Criminal Law and Criminology</w:t>
      </w:r>
      <w:r w:rsidRPr="00EA2844">
        <w:rPr>
          <w:rFonts w:cs="Times New Roman"/>
          <w:noProof/>
          <w:szCs w:val="24"/>
        </w:rPr>
        <w:t>.</w:t>
      </w:r>
    </w:p>
    <w:p w14:paraId="23B3E39D" w14:textId="77777777" w:rsidR="00EA2844" w:rsidRPr="00EA2844" w:rsidRDefault="00EA2844" w:rsidP="00EA2844">
      <w:pPr>
        <w:widowControl w:val="0"/>
        <w:autoSpaceDE w:val="0"/>
        <w:autoSpaceDN w:val="0"/>
        <w:adjustRightInd w:val="0"/>
        <w:spacing w:line="480" w:lineRule="auto"/>
        <w:ind w:left="480" w:hanging="480"/>
        <w:rPr>
          <w:rFonts w:cs="Times New Roman"/>
          <w:noProof/>
        </w:rPr>
      </w:pPr>
      <w:r w:rsidRPr="00EA2844">
        <w:rPr>
          <w:rFonts w:cs="Times New Roman"/>
          <w:noProof/>
          <w:szCs w:val="24"/>
        </w:rPr>
        <w:t xml:space="preserve">Thornton, J. I. (2015).  A Review of Criminalistics: An Introduction to Forensic Science . </w:t>
      </w:r>
      <w:r w:rsidRPr="00EA2844">
        <w:rPr>
          <w:rFonts w:cs="Times New Roman"/>
          <w:i/>
          <w:iCs/>
          <w:noProof/>
          <w:szCs w:val="24"/>
        </w:rPr>
        <w:t>Journal of Forensic Sciences</w:t>
      </w:r>
      <w:r w:rsidRPr="00EA2844">
        <w:rPr>
          <w:rFonts w:cs="Times New Roman"/>
          <w:noProof/>
          <w:szCs w:val="24"/>
        </w:rPr>
        <w:t>. https://doi.org/10.1520/jfs10430j</w:t>
      </w:r>
    </w:p>
    <w:p w14:paraId="6AF66ABF" w14:textId="5704054A" w:rsidR="00F432E8" w:rsidRPr="001052D5" w:rsidRDefault="00A04208" w:rsidP="00A04208">
      <w:pPr>
        <w:spacing w:line="480" w:lineRule="auto"/>
        <w:rPr>
          <w:lang w:val="en-US"/>
        </w:rPr>
      </w:pPr>
      <w:r>
        <w:rPr>
          <w:lang w:val="en-US"/>
        </w:rPr>
        <w:fldChar w:fldCharType="end"/>
      </w:r>
    </w:p>
    <w:p w14:paraId="59207C59" w14:textId="77777777" w:rsidR="001052D5" w:rsidRPr="001052D5" w:rsidRDefault="001052D5" w:rsidP="001052D5">
      <w:pPr>
        <w:rPr>
          <w:lang w:val="en-US"/>
        </w:rPr>
      </w:pPr>
    </w:p>
    <w:p w14:paraId="7A9298D9" w14:textId="77777777" w:rsidR="001052D5" w:rsidRPr="001052D5" w:rsidRDefault="001052D5" w:rsidP="001052D5">
      <w:pPr>
        <w:rPr>
          <w:lang w:val="en-US"/>
        </w:rPr>
      </w:pPr>
    </w:p>
    <w:p w14:paraId="0D539069" w14:textId="77777777" w:rsidR="001052D5" w:rsidRDefault="001052D5" w:rsidP="003814C1">
      <w:pPr>
        <w:rPr>
          <w:lang w:val="en-US"/>
        </w:rPr>
      </w:pPr>
    </w:p>
    <w:p w14:paraId="75CF49A1" w14:textId="48C54E86" w:rsidR="002B4395" w:rsidRPr="003814C1" w:rsidRDefault="002B4395">
      <w:pPr>
        <w:rPr>
          <w:lang w:val="en-US"/>
        </w:rPr>
      </w:pPr>
    </w:p>
    <w:sectPr w:rsidR="002B4395" w:rsidRPr="003814C1" w:rsidSect="00F432E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401D9" w14:textId="77777777" w:rsidR="000B2F2E" w:rsidRDefault="000B2F2E">
      <w:pPr>
        <w:spacing w:after="0" w:line="240" w:lineRule="auto"/>
      </w:pPr>
      <w:r>
        <w:separator/>
      </w:r>
    </w:p>
  </w:endnote>
  <w:endnote w:type="continuationSeparator" w:id="0">
    <w:p w14:paraId="7AC85ECE" w14:textId="77777777" w:rsidR="000B2F2E" w:rsidRDefault="000B2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D0545" w14:textId="77777777" w:rsidR="000B2F2E" w:rsidRDefault="000B2F2E">
      <w:pPr>
        <w:spacing w:after="0" w:line="240" w:lineRule="auto"/>
      </w:pPr>
      <w:r>
        <w:separator/>
      </w:r>
    </w:p>
  </w:footnote>
  <w:footnote w:type="continuationSeparator" w:id="0">
    <w:p w14:paraId="1E31C975" w14:textId="77777777" w:rsidR="000B2F2E" w:rsidRDefault="000B2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AC8FD" w14:textId="3B827EF7" w:rsidR="003E72A8" w:rsidRDefault="00F86DFA">
    <w:pPr>
      <w:pStyle w:val="Header"/>
      <w:jc w:val="right"/>
    </w:pPr>
    <w:r w:rsidRPr="003E72A8">
      <w:rPr>
        <w:lang w:val="en-US"/>
      </w:rPr>
      <w:t xml:space="preserve">THE FEDERAL BUREAU OF INVESTIGATIONS (FBI)    </w:t>
    </w:r>
    <w:r>
      <w:rPr>
        <w:lang w:val="en-US"/>
      </w:rPr>
      <w:t xml:space="preserve">                                               </w:t>
    </w:r>
    <w:sdt>
      <w:sdtPr>
        <w:id w:val="1407421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B6C90C" w14:textId="77777777" w:rsidR="003E72A8" w:rsidRDefault="003E72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93DAC" w14:textId="61C636C6" w:rsidR="00F432E8" w:rsidRDefault="00F86DFA">
    <w:pPr>
      <w:pStyle w:val="Header"/>
      <w:jc w:val="right"/>
    </w:pPr>
    <w:r>
      <w:rPr>
        <w:lang w:val="en-US"/>
      </w:rPr>
      <w:t xml:space="preserve">Running head: </w:t>
    </w:r>
    <w:r w:rsidRPr="00F432E8">
      <w:rPr>
        <w:lang w:val="en-US"/>
      </w:rPr>
      <w:t>THE FEDERAL BUREAU OF INVESTIGATIONS (FBI)</w:t>
    </w:r>
    <w:r>
      <w:rPr>
        <w:lang w:val="en-US"/>
      </w:rPr>
      <w:t xml:space="preserve">                           </w:t>
    </w:r>
    <w:sdt>
      <w:sdtPr>
        <w:id w:val="-6671742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B5D47E4" w14:textId="77777777" w:rsidR="00F432E8" w:rsidRDefault="00F432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W0MDAyNzC3MDYytTBS0lEKTi0uzszPAykwrAUAqUrELiwAAAA="/>
  </w:docVars>
  <w:rsids>
    <w:rsidRoot w:val="003814C1"/>
    <w:rsid w:val="000B2F2E"/>
    <w:rsid w:val="001052D5"/>
    <w:rsid w:val="002B4395"/>
    <w:rsid w:val="00337B68"/>
    <w:rsid w:val="003814C1"/>
    <w:rsid w:val="003E72A8"/>
    <w:rsid w:val="00515E16"/>
    <w:rsid w:val="00552936"/>
    <w:rsid w:val="005F42FA"/>
    <w:rsid w:val="00713921"/>
    <w:rsid w:val="0078119C"/>
    <w:rsid w:val="009D4397"/>
    <w:rsid w:val="00A04208"/>
    <w:rsid w:val="00A56154"/>
    <w:rsid w:val="00C63CEB"/>
    <w:rsid w:val="00CB1832"/>
    <w:rsid w:val="00EA2844"/>
    <w:rsid w:val="00F428A0"/>
    <w:rsid w:val="00F432E8"/>
    <w:rsid w:val="00F86DF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6FFC8"/>
  <w15:chartTrackingRefBased/>
  <w15:docId w15:val="{2C118CA9-959E-492D-8977-758EE197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14C1"/>
    <w:rPr>
      <w:color w:val="0563C1" w:themeColor="hyperlink"/>
      <w:u w:val="single"/>
    </w:rPr>
  </w:style>
  <w:style w:type="character" w:customStyle="1" w:styleId="UnresolvedMention1">
    <w:name w:val="Unresolved Mention1"/>
    <w:basedOn w:val="DefaultParagraphFont"/>
    <w:uiPriority w:val="99"/>
    <w:semiHidden/>
    <w:unhideWhenUsed/>
    <w:rsid w:val="003814C1"/>
    <w:rPr>
      <w:color w:val="605E5C"/>
      <w:shd w:val="clear" w:color="auto" w:fill="E1DFDD"/>
    </w:rPr>
  </w:style>
  <w:style w:type="paragraph" w:styleId="Header">
    <w:name w:val="header"/>
    <w:basedOn w:val="Normal"/>
    <w:link w:val="HeaderChar"/>
    <w:uiPriority w:val="99"/>
    <w:unhideWhenUsed/>
    <w:rsid w:val="00F43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E8"/>
  </w:style>
  <w:style w:type="paragraph" w:styleId="Footer">
    <w:name w:val="footer"/>
    <w:basedOn w:val="Normal"/>
    <w:link w:val="FooterChar"/>
    <w:uiPriority w:val="99"/>
    <w:unhideWhenUsed/>
    <w:rsid w:val="00F43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986C4-8255-407B-8F08-B592E9DC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4983</Words>
  <Characters>28406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2019-03-02T06:04:00Z</dcterms:created>
  <dcterms:modified xsi:type="dcterms:W3CDTF">2019-03-02T06:04:00Z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